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ubtitle"/>
        <w:widowControl/>
      </w:pPr>
      <w:r>
        <w:t xml:space="preserve">PROXONYX CORP</w:t>
      </w:r>
    </w:p>
    <w:p>
      <w:pPr>
        <w:pStyle w:val="Title"/>
        <w:widowControl/>
      </w:pPr>
      <w:r>
        <w:t xml:space="preserve">Statement of Work</w:t>
      </w:r>
    </w:p>
    <w:p>
      <w:pPr>
        <w:pStyle w:val="Heading1"/>
        <w:widowControl/>
      </w:pPr>
      <w:r>
        <w:t xml:space="preserve">1. Parties and project</w:t>
      </w:r>
    </w:p>
    <w:p>
      <w:pPr>
        <w:widowControl/>
      </w:pPr>
      <w:r>
        <w:t xml:space="preserve">Provider: Proxonyx Corp, at [address]. Provider contact and notice email: [name; email].</w:t>
      </w:r>
    </w:p>
    <w:p>
      <w:pPr>
        <w:widowControl/>
      </w:pPr>
      <w:r>
        <w:t xml:space="preserve">Client: [Full legal name; entity type; address]. Client contact and notice email: [name; email].</w:t>
      </w:r>
    </w:p>
    <w:p>
      <w:pPr>
        <w:widowControl/>
      </w:pPr>
      <w:r>
        <w:t xml:space="preserve">Project: [Project name]. SOW number: [number]. Effective date: [date]. Start date: [date]. Planned completion date: [date or completion event].</w:t>
      </w:r>
    </w:p>
    <w:p>
      <w:pPr>
        <w:widowControl/>
      </w:pPr>
      <w:r>
        <w:t xml:space="preserve">Master agreement: [Identify the signed services agreement and date, or state "None"]. If identified, that agreement governs legal terms and this SOW governs project-specific scope, schedule, and fees. Any override must expressly identify the provision being changed and be signed by both parties. If no master agreement is identified, the terms below govern this consulting engagement.</w:t>
      </w:r>
    </w:p>
    <w:p>
      <w:pPr>
        <w:pStyle w:val="Heading1"/>
        <w:widowControl/>
      </w:pPr>
      <w:r>
        <w:t xml:space="preserve">2. Objectives, scope, and exclusions</w:t>
      </w:r>
    </w:p>
    <w:p>
      <w:pPr>
        <w:widowControl/>
      </w:pPr>
      <w:r>
        <w:t xml:space="preserve">Business objective: [Describe the problem and intended project outcome].</w:t>
      </w:r>
    </w:p>
    <w:p>
      <w:pPr>
        <w:widowControl/>
      </w:pPr>
      <w:r>
        <w:t xml:space="preserve">Included services: [List specific tasks, quantities, systems, business units, locations, training sessions, or research questions].</w:t>
      </w:r>
    </w:p>
    <w:p>
      <w:pPr>
        <w:widowControl/>
      </w:pPr>
      <w:r>
        <w:t xml:space="preserve">Excluded services: [List activities and deliverables that are not included].</w:t>
      </w:r>
    </w:p>
    <w:p>
      <w:pPr>
        <w:widowControl/>
      </w:pPr>
      <w:r>
        <w:t xml:space="preserve">Professional boundaries: Unless expressly agreed in writing and performed by appropriately qualified personnel, services do not include audit or assurance opinions, tax preparation or advice, legal advice, investment advice, or authority to approve transactions. Client remains responsible for its records, compliance, business decisions, and approvals.</w:t>
      </w:r>
    </w:p>
    <w:p>
      <w:pPr>
        <w:widowControl/>
      </w:pPr>
      <w:r>
        <w:t xml:space="preserve">Results are not guaranteed. Recommendations, estimates, research, and AI-assisted output require appropriate human review and do not guarantee revenue, savings, regulatory compliance, or error-free performance.</w:t>
      </w:r>
    </w:p>
    <w:p>
      <w:pPr>
        <w:pStyle w:val="Heading1"/>
        <w:widowControl/>
      </w:pPr>
      <w:r>
        <w:t xml:space="preserve">3. Deliverables and acceptance</w:t>
      </w:r>
    </w:p>
    <w:p>
      <w:pPr>
        <w:widowControl/>
      </w:pPr>
      <w:r>
        <w:t xml:space="preserve">For EACH deliverable, complete: [Name/ID]; [description and format]; [due date]; [objective acceptance criteria]; [reviewer]. Add rows or repeat this entry as needed.</w:t>
      </w:r>
    </w:p>
    <w:p>
      <w:pPr>
        <w:widowControl/>
      </w:pPr>
      <w:r>
        <w:t xml:space="preserve">Included revision rounds: [number and boundaries]. Delivery method: [secure transfer or agreed repository].</w:t>
      </w:r>
    </w:p>
    <w:p>
      <w:pPr>
        <w:widowControl/>
      </w:pPr>
      <w:r>
        <w:t xml:space="preserve">Client will review each deliverable within [number] business days and accept it in writing or identify specific failures against the agreed acceptance criteria. Silence alone does not constitute acceptance. Provider will address in-scope deficiencies within [number] business days or another agreed period and resubmit for review.</w:t>
      </w:r>
    </w:p>
    <w:p>
      <w:pPr>
        <w:widowControl/>
      </w:pPr>
      <w:r>
        <w:t xml:space="preserve">New preferences, extra revisions, and requirements outside the agreed criteria follow the change-control process. If acceptance remains disputed, the parties will escalate to their project contacts before proceeding with dependent work.</w:t>
      </w:r>
    </w:p>
    <w:p>
      <w:pPr>
        <w:pStyle w:val="Heading1"/>
        <w:widowControl/>
      </w:pPr>
      <w:r>
        <w:t xml:space="preserve">4. Schedule and client responsibilities</w:t>
      </w:r>
    </w:p>
    <w:p>
      <w:pPr>
        <w:widowControl/>
      </w:pPr>
      <w:r>
        <w:t xml:space="preserve">Milestones and dependencies: [Milestone; target date; dependency; responsible party].</w:t>
      </w:r>
    </w:p>
    <w:p>
      <w:pPr>
        <w:widowControl/>
      </w:pPr>
      <w:r>
        <w:t xml:space="preserve">Client will provide: [Accurate records; timely system access; licenses; decision-maker; stakeholder availability; approvals] by [dates]. Access must use approved, least-privilege methods; passwords must not be included in this SOW.</w:t>
      </w:r>
    </w:p>
    <w:p>
      <w:pPr>
        <w:widowControl/>
      </w:pPr>
      <w:r>
        <w:t xml:space="preserve">Status updates: [Cadence and channel]. Project contacts: [Provider and Client names].</w:t>
      </w:r>
    </w:p>
    <w:p>
      <w:pPr>
        <w:widowControl/>
      </w:pPr>
      <w:r>
        <w:t xml:space="preserve">Neither party may change dates or fees unilaterally. Delays and dependency impacts must be documented and any revised schedule or charges agreed in writing.</w:t>
      </w:r>
    </w:p>
    <w:p>
      <w:pPr>
        <w:pStyle w:val="Heading1"/>
        <w:widowControl/>
      </w:pPr>
      <w:r>
        <w:t xml:space="preserve">5. Fees, expenses, and payment</w:t>
      </w:r>
    </w:p>
    <w:p>
      <w:pPr>
        <w:widowControl/>
      </w:pPr>
      <w:r>
        <w:t xml:space="preserve">Select and complete the applicable pricing model: [Fixed fee of $___] OR [Time and materials at $___ per hour, estimated ___ hours, with a not-to-exceed amount of $___ absent written approval] OR [Retainer of $___ per ___ with included services and overage terms: ___]. Currency: [USD or other].</w:t>
      </w:r>
    </w:p>
    <w:p>
      <w:pPr>
        <w:widowControl/>
      </w:pPr>
      <w:r>
        <w:t xml:space="preserve">Deposit: [Amount; due date; how credited; refund conditions]. Milestone payments or invoice cadence: [details]. Payment due: [number] days after receipt of invoice. Payment method: [method].</w:t>
      </w:r>
    </w:p>
    <w:p>
      <w:pPr>
        <w:widowControl/>
      </w:pPr>
      <w:r>
        <w:t xml:space="preserve">Expenses and third-party charges: [Included or separately billed; approval requirements; cap]. No unapproved expenses or provider/API charges may be passed through.</w:t>
      </w:r>
    </w:p>
    <w:p>
      <w:pPr>
        <w:widowControl/>
      </w:pPr>
      <w:r>
        <w:t xml:space="preserve">Taxes: [Specify responsibility for applicable transaction taxes; each party remains responsible for taxes on its own income].</w:t>
      </w:r>
    </w:p>
    <w:p>
      <w:pPr>
        <w:widowControl/>
      </w:pPr>
      <w:r>
        <w:t xml:space="preserve">Invoice disputes: Client will promptly identify the disputed amount and reason, pay undisputed amounts when due, and work with Provider to resolve the dispute. Suspension for nonpayment requires written notice and [number] business days to cure.</w:t>
      </w:r>
    </w:p>
    <w:p>
      <w:pPr>
        <w:pStyle w:val="Heading1"/>
        <w:widowControl/>
      </w:pPr>
      <w:r>
        <w:t xml:space="preserve">6. Written change control</w:t>
      </w:r>
    </w:p>
    <w:p>
      <w:pPr>
        <w:widowControl/>
      </w:pPr>
      <w:r>
        <w:t xml:space="preserve">A change request must identify the added or removed work, deliverables, acceptance criteria, impact on schedule and fees, and any data or access implications.</w:t>
      </w:r>
    </w:p>
    <w:p>
      <w:pPr>
        <w:widowControl/>
      </w:pPr>
      <w:r>
        <w:t xml:space="preserve">Both parties must approve the change in writing through [authorized signatories or agreed approval method] before changed work begins. Verbal requests do not expand the scope.</w:t>
      </w:r>
    </w:p>
    <w:p>
      <w:pPr>
        <w:pStyle w:val="Heading1"/>
        <w:widowControl/>
      </w:pPr>
      <w:r>
        <w:t xml:space="preserve">7. Confidentiality and client data</w:t>
      </w:r>
    </w:p>
    <w:p>
      <w:pPr>
        <w:widowControl/>
      </w:pPr>
      <w:r>
        <w:t xml:space="preserve">Existing NDA: [Identify signed NDA and date, or state "None"]. An identified NDA continues to apply; this SOW does not reduce its protections.</w:t>
      </w:r>
    </w:p>
    <w:p>
      <w:pPr>
        <w:widowControl/>
      </w:pPr>
      <w:r>
        <w:t xml:space="preserve">Absent a separate NDA, each party will protect nonpublic information disclosed for this engagement using reasonable care, use it only to perform the engagement, and disclose it only to personnel or approved contractors who need it and are bound by confidentiality duties. This excludes information lawfully public, already known without restriction, independently developed, or lawfully obtained from another source.</w:t>
      </w:r>
    </w:p>
    <w:p>
      <w:pPr>
        <w:widowControl/>
      </w:pPr>
      <w:r>
        <w:t xml:space="preserve">Legally required disclosures must be limited to what is required, with advance notice where legally permitted. Confidentiality lasts [number] years after the last disclosure; trade secrets remain protected while they qualify as trade secrets under applicable law.</w:t>
      </w:r>
    </w:p>
    <w:p>
      <w:pPr>
        <w:widowControl/>
      </w:pPr>
      <w:r>
        <w:t xml:space="preserve">Client warrants it has authority to supply the data and instructions. Approved data categories: [list]. Prohibited data: [list]. Transfer, access, retention, deletion, and incident-notification requirements: [details]. If personal or regulated data is involved, execute any required data-processing or other specialized agreement before access.</w:t>
      </w:r>
    </w:p>
    <w:p>
      <w:pPr>
        <w:widowControl/>
      </w:pPr>
      <w:r>
        <w:t xml:space="preserve">Do not submit confidential information through the public contact form or public app preview. Use a separately agreed secure transfer method.</w:t>
      </w:r>
    </w:p>
    <w:p>
      <w:pPr>
        <w:pStyle w:val="Heading1"/>
        <w:widowControl/>
      </w:pPr>
      <w:r>
        <w:t xml:space="preserve">8. AI tools and subcontractors</w:t>
      </w:r>
    </w:p>
    <w:p>
      <w:pPr>
        <w:widowControl/>
      </w:pPr>
      <w:r>
        <w:t xml:space="preserve">Approved subcontractors and external tools: [Names and roles, or "None"]. Approved AI use cases and providers: [Names, purpose, data categories, processing location, retention, and whether provider training is disabled, or "None"].</w:t>
      </w:r>
    </w:p>
    <w:p>
      <w:pPr>
        <w:widowControl/>
      </w:pPr>
      <w:r>
        <w:t xml:space="preserve">Confidential information may not be sent to external AI systems, used for model training, or shared with unapproved subcontractors without prior written authorization from the disclosing party. An app subscription or public privacy policy is not that authorization.</w:t>
      </w:r>
    </w:p>
    <w:p>
      <w:pPr>
        <w:widowControl/>
      </w:pPr>
      <w:r>
        <w:t xml:space="preserve">Provider remains responsible for its subcontractors and will review AI-assisted work before delivery. External services must meet the agreed confidentiality and data-handling requirements. Provider must obtain approval before changing approved providers or data uses.</w:t>
      </w:r>
    </w:p>
    <w:p>
      <w:pPr>
        <w:pStyle w:val="Heading1"/>
        <w:widowControl/>
      </w:pPr>
      <w:r>
        <w:t xml:space="preserve">9. Ownership and permitted use</w:t>
      </w:r>
    </w:p>
    <w:p>
      <w:pPr>
        <w:widowControl/>
      </w:pPr>
      <w:r>
        <w:t xml:space="preserve">Client retains ownership of its supplied data and materials. Provider retains pre-existing methods, templates, software, algorithms, know-how, and reusable tools ("Background Materials").</w:t>
      </w:r>
    </w:p>
    <w:p>
      <w:pPr>
        <w:widowControl/>
      </w:pPr>
      <w:r>
        <w:t xml:space="preserve">Ownership or license for project-specific deliverables: [Specify assignment or license, permitted uses, and when it takes effect, including any payment condition]. If assignment is chosen, it applies only to rights Provider owns and can assign.</w:t>
      </w:r>
    </w:p>
    <w:p>
      <w:pPr>
        <w:widowControl/>
      </w:pPr>
      <w:r>
        <w:t xml:space="preserve">Embedded Background Materials license: [Specify rights sufficient for Client to use the deliverables, including duration and any restrictions]. Third-party materials: [Identify materials and applicable license terms]. AI-generated elements may not carry exclusive intellectual-property rights; no exclusive rights are promised in material Provider does not own.</w:t>
      </w:r>
    </w:p>
    <w:p>
      <w:pPr>
        <w:widowControl/>
      </w:pPr>
      <w:r>
        <w:t xml:space="preserve">Neither party may use the other party's name, logo, data, or project details in publicity or case studies without prior written permission.</w:t>
      </w:r>
    </w:p>
    <w:p>
      <w:pPr>
        <w:pStyle w:val="Heading1"/>
        <w:widowControl/>
      </w:pPr>
      <w:r>
        <w:t xml:space="preserve">10. Service standard and liability</w:t>
      </w:r>
    </w:p>
    <w:p>
      <w:pPr>
        <w:widowControl/>
      </w:pPr>
      <w:r>
        <w:t xml:space="preserve">Provider will perform services with reasonable professional care consistent with the agreed scope. Client will notify Provider of a specific service deficiency within [number] days after delivery; agreed correction or other remedy: [details]. Mandatory legal rights are not excluded.</w:t>
      </w:r>
    </w:p>
    <w:p>
      <w:pPr>
        <w:widowControl/>
      </w:pPr>
      <w:r>
        <w:t xml:space="preserve">Liability terms must be negotiated and completed before signing: aggregate liability cap [amount or formula, or "No contractual cap"]; excluded damage categories [categories or "None"]; exceptions [e.g., fraud, willful misconduct, confidentiality, data protection, IP, or unpaid fees, as agreed]. A blank field does not create a zero-dollar cap or waive liability.</w:t>
      </w:r>
    </w:p>
    <w:p>
      <w:pPr>
        <w:widowControl/>
      </w:pPr>
      <w:r>
        <w:t xml:space="preserve">Any limitation applies only to the extent permitted by law. Insurance requirements, if any: [type and coverage or "None"]. Indemnity terms, if any: [Expressly negotiated terms or "None"].</w:t>
      </w:r>
    </w:p>
    <w:p>
      <w:pPr>
        <w:pStyle w:val="Heading1"/>
        <w:widowControl/>
      </w:pPr>
      <w:r>
        <w:t xml:space="preserve">11. Termination and relationship</w:t>
      </w:r>
    </w:p>
    <w:p>
      <w:pPr>
        <w:widowControl/>
      </w:pPr>
      <w:r>
        <w:t xml:space="preserve">Either party may terminate for material breach after written notice and [number] business days to cure. Convenience termination: [Which parties may terminate; notice period; any expressly agreed cancellation fees].</w:t>
      </w:r>
    </w:p>
    <w:p>
      <w:pPr>
        <w:widowControl/>
      </w:pPr>
      <w:r>
        <w:t xml:space="preserve">On termination, Client pays for authorized work performed and preapproved, noncancelable commitments, subject to the agreed pricing and caps. Provider refunds any unearned prepaid amount within [number] days. Handoff of completed work and treatment of in-progress work: [details].</w:t>
      </w:r>
    </w:p>
    <w:p>
      <w:pPr>
        <w:widowControl/>
      </w:pPr>
      <w:r>
        <w:t xml:space="preserve">Return or deletion of confidential information: [Deadline; backup and legally required retention exceptions]. Confidentiality, accrued payment obligations, agreed IP rights, and dispute provisions survive as applicable.</w:t>
      </w:r>
    </w:p>
    <w:p>
      <w:pPr>
        <w:widowControl/>
      </w:pPr>
      <w:r>
        <w:t xml:space="preserve">Provider is an independent contractor, not an employee, partner, or agent. Neither party can bind the other. Assignment of this SOW requires the other party's written consent.</w:t>
      </w:r>
    </w:p>
    <w:p>
      <w:pPr>
        <w:pStyle w:val="Heading1"/>
        <w:widowControl/>
      </w:pPr>
      <w:r>
        <w:t xml:space="preserve">12. Washington law and signatures</w:t>
      </w:r>
    </w:p>
    <w:p>
      <w:pPr>
        <w:widowControl/>
      </w:pPr>
      <w:r>
        <w:t xml:space="preserve">Washington State law governs this SOW, excluding conflict-of-laws rules, subject to applicable mandatory law. The parties will first attempt good-faith resolution through their project contacts. Subject to any controlling master agreement, disputes will be heard in the state courts in [Washington county] or the federal court with jurisdiction over that county, and each party consents to that jurisdiction.</w:t>
      </w:r>
    </w:p>
    <w:p>
      <w:pPr>
        <w:widowControl/>
      </w:pPr>
      <w:r>
        <w:t xml:space="preserve">This SOW, its listed attachments, and any identified master agreement or NDA constitute the agreement for this consulting engagement. Amendments require both parties' written agreement. Notices go to the contacts above. Counterparts and electronic signatures may be used to the extent permitted by law.</w:t>
      </w:r>
    </w:p>
    <w:p>
      <w:pPr>
        <w:widowControl/>
      </w:pPr>
      <w:r>
        <w:t xml:space="preserve">Attachments: [List or "None"]. Each signatory confirms authority to bind the named party.</w:t>
      </w:r>
    </w:p>
    <w:p>
      <w:pPr>
        <w:widowControl/>
      </w:pPr>
      <w:r>
        <w:t xml:space="preserve">PROVIDER - Legal entity: Proxonyx Corp. Authorized signer: [name]. Title: [title]. Signature: ____________________. Date: __________.</w:t>
      </w:r>
    </w:p>
    <w:p>
      <w:pPr>
        <w:widowControl/>
      </w:pPr>
      <w:r>
        <w:t xml:space="preserve">CLIENT - Legal entity: [name]. Authorized signer: [name]. Title: [title]. Signature: ____________________. Date: __________.</w:t>
      </w:r>
    </w:p>
    <w:sectPr>
      <w:pgSz w:w="12240" w:h="15840"/>
      <w:pgMar w:top="1080" w:right="1080" w:bottom="1080" w:left="1080"/>
    </w:sectPr>
  </w:body>
</w:document>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default="1" w:styleId="Normal">
    <w:name w:val="Normal"/>
  </w:style>
  <w:style w:type="paragraph" w:styleId="Title">
    <w:name w:val="Title"/>
    <w:basedOn w:val="Normal"/>
    <w:pPr>
      <w:keepNext/>
    </w:pPr>
    <w:rPr>
      <w:b/>
      <w:sz w:val="36"/>
    </w:rPr>
  </w:style>
  <w:style w:type="paragraph" w:styleId="Subtitle">
    <w:name w:val="Subtitle"/>
    <w:basedOn w:val="Normal"/>
    <w:rPr>
      <w:sz w:val="20"/>
      <w:color w:val="46584F"/>
    </w:rPr>
  </w:style>
  <w:style w:type="paragraph" w:styleId="Heading1">
    <w:name w:val="Heading 1"/>
    <w:basedOn w:val="Normal"/>
    <w:pPr>
      <w:keepNext/>
      <w:spacing w:before="240" w:after="120"/>
    </w:pPr>
    <w:rPr>
      <w:b/>
      <w:sz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s>
</file>