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Subtitle"/>
        <w:widowControl/>
      </w:pPr>
      <w:r>
        <w:t xml:space="preserve">PROXONYX CORP</w:t>
      </w:r>
    </w:p>
    <w:p>
      <w:pPr>
        <w:pStyle w:val="Title"/>
        <w:widowControl/>
      </w:pPr>
      <w:r>
        <w:t xml:space="preserve">Mutual Nondisclosure Agreement</w:t>
      </w:r>
    </w:p>
    <w:p>
      <w:pPr>
        <w:pStyle w:val="Heading1"/>
        <w:widowControl/>
      </w:pPr>
      <w:r>
        <w:t xml:space="preserve">1. Parties, effective date, and purpose</w:t>
      </w:r>
    </w:p>
    <w:p>
      <w:pPr>
        <w:widowControl/>
      </w:pPr>
      <w:r>
        <w:t xml:space="preserve">Party A: Proxonyx Corp, at [address]. Notice contact: [name; email].</w:t>
      </w:r>
    </w:p>
    <w:p>
      <w:pPr>
        <w:widowControl/>
      </w:pPr>
      <w:r>
        <w:t xml:space="preserve">Party B: [Full legal name; entity type; address]. Notice contact: [name; email].</w:t>
      </w:r>
    </w:p>
    <w:p>
      <w:pPr>
        <w:widowControl/>
      </w:pPr>
      <w:r>
        <w:t xml:space="preserve">Effective date: [date]. Purpose: evaluating, negotiating, and, if separately agreed, performing a consulting engagement concerning [describe project or business discussion].</w:t>
      </w:r>
    </w:p>
    <w:p>
      <w:pPr>
        <w:widowControl/>
      </w:pPr>
      <w:r>
        <w:t xml:space="preserve">Each party may disclose or receive Confidential Information. This agreement governs information disclosed on or after the effective date and any earlier disclosures specifically identified here: [list or "None"].</w:t>
      </w:r>
    </w:p>
    <w:p>
      <w:pPr>
        <w:pStyle w:val="Heading1"/>
        <w:widowControl/>
      </w:pPr>
      <w:r>
        <w:t xml:space="preserve">2. Confidential Information</w:t>
      </w:r>
    </w:p>
    <w:p>
      <w:pPr>
        <w:widowControl/>
      </w:pPr>
      <w:r>
        <w:t xml:space="preserve">Confidential Information is nonpublic information disclosed by or on behalf of a party in any form that is identified as confidential or that a reasonable person would understand to be confidential in the circumstances. It includes business plans, financial records, customer and employee information, pricing, technical designs, source code, methods, credentials, trade secrets, and notes or analyses reflecting that information.</w:t>
      </w:r>
    </w:p>
    <w:p>
      <w:pPr>
        <w:widowControl/>
      </w:pPr>
      <w:r>
        <w:t xml:space="preserve">The receiving party must protect the information even if it was not marked, when its confidential nature is reasonably apparent.</w:t>
      </w:r>
    </w:p>
    <w:p>
      <w:pPr>
        <w:pStyle w:val="Heading1"/>
        <w:widowControl/>
      </w:pPr>
      <w:r>
        <w:t xml:space="preserve">3. Exclusions</w:t>
      </w:r>
    </w:p>
    <w:p>
      <w:pPr>
        <w:widowControl/>
      </w:pPr>
      <w:r>
        <w:t xml:space="preserve">Information is not Confidential Information to the extent the receiving party can demonstrate that it: (a) is publicly available without breach; (b) was already lawfully known without confidentiality restrictions; (c) was independently developed without using the disclosed information; or (d) was lawfully received from another source without a duty of confidentiality.</w:t>
      </w:r>
    </w:p>
    <w:p>
      <w:pPr>
        <w:widowControl/>
      </w:pPr>
      <w:r>
        <w:t xml:space="preserve">A combination of information is not excluded merely because individual elements are public, unless the combination itself meets an exclusion.</w:t>
      </w:r>
    </w:p>
    <w:p>
      <w:pPr>
        <w:pStyle w:val="Heading1"/>
        <w:widowControl/>
      </w:pPr>
      <w:r>
        <w:t xml:space="preserve">4. Use, safeguards, and permitted recipients</w:t>
      </w:r>
    </w:p>
    <w:p>
      <w:pPr>
        <w:widowControl/>
      </w:pPr>
      <w:r>
        <w:t xml:space="preserve">The receiving party will use Confidential Information only for the Purpose; protect it with at least reasonable care and no less care than it uses for similarly sensitive information of its own; and avoid unauthorized copying, access, or disclosure.</w:t>
      </w:r>
    </w:p>
    <w:p>
      <w:pPr>
        <w:widowControl/>
      </w:pPr>
      <w:r>
        <w:t xml:space="preserve">Disclosure is permitted only to employees, professional advisers, and approved contractors who need the information for the Purpose and are bound by confidentiality duties at least as protective as this agreement, whether by contract or professional obligation. The receiving party is responsible for breaches by its representatives.</w:t>
      </w:r>
    </w:p>
    <w:p>
      <w:pPr>
        <w:widowControl/>
      </w:pPr>
      <w:r>
        <w:t xml:space="preserve">Neither party may upload Confidential Information to public AI tools, send it to external AI providers, use it for model training, or share it with other unapproved third parties without the disclosing party's prior written authorization identifying the provider, purpose, and permitted data handling.</w:t>
      </w:r>
    </w:p>
    <w:p>
      <w:pPr>
        <w:widowControl/>
      </w:pPr>
      <w:r>
        <w:t xml:space="preserve">Do not transmit passwords in this agreement or submit sensitive information through the public website contact form or app preview. Agree separately on a secure transfer method and least-privilege access.</w:t>
      </w:r>
    </w:p>
    <w:p>
      <w:pPr>
        <w:pStyle w:val="Heading1"/>
        <w:widowControl/>
      </w:pPr>
      <w:r>
        <w:t xml:space="preserve">5. Required and protected disclosures</w:t>
      </w:r>
    </w:p>
    <w:p>
      <w:pPr>
        <w:widowControl/>
      </w:pPr>
      <w:r>
        <w:t xml:space="preserve">If disclosure is legally required, the receiving party may disclose only the required portion, give advance notice where legally permitted, and reasonably cooperate with efforts to obtain protective treatment. Cooperation costs are borne by the requesting disclosing party unless otherwise agreed.</w:t>
      </w:r>
    </w:p>
    <w:p>
      <w:pPr>
        <w:widowControl/>
      </w:pPr>
      <w:r>
        <w:t xml:space="preserve">Nothing in this agreement prohibits lawful reporting to government agencies, cooperation with investigations, legally protected whistleblowing, or any disclosure that cannot lawfully be restricted. No notice or permission is required where that would conflict with protected rights.</w:t>
      </w:r>
    </w:p>
    <w:p>
      <w:pPr>
        <w:pStyle w:val="Heading1"/>
        <w:widowControl/>
      </w:pPr>
      <w:r>
        <w:t xml:space="preserve">6. Incident notice and return or deletion</w:t>
      </w:r>
    </w:p>
    <w:p>
      <w:pPr>
        <w:widowControl/>
      </w:pPr>
      <w:r>
        <w:t xml:space="preserve">The receiving party will promptly notify the disclosing party after discovering unauthorized access, use, or disclosure; take reasonable steps to contain it; and cooperate in addressing it. This does not replace any legally required incident notice.</w:t>
      </w:r>
    </w:p>
    <w:p>
      <w:pPr>
        <w:widowControl/>
      </w:pPr>
      <w:r>
        <w:t xml:space="preserve">On written request or termination, the receiving party will cease use and, within [number] days, return or delete Confidential Information and reasonably accessible copies, and confirm completion on request.</w:t>
      </w:r>
    </w:p>
    <w:p>
      <w:pPr>
        <w:widowControl/>
      </w:pPr>
      <w:r>
        <w:t xml:space="preserve">A copy may be retained when required by law or professional recordkeeping duties, and routine backups may remain until overwritten through ordinary retention cycles. Retained information remains protected, may not be used for other purposes, and may be accessed only for the permitted retention purpose.</w:t>
      </w:r>
    </w:p>
    <w:p>
      <w:pPr>
        <w:pStyle w:val="Heading1"/>
        <w:widowControl/>
      </w:pPr>
      <w:r>
        <w:t xml:space="preserve">7. Duration</w:t>
      </w:r>
    </w:p>
    <w:p>
      <w:pPr>
        <w:widowControl/>
      </w:pPr>
      <w:r>
        <w:t xml:space="preserve">Disclosure period: this agreement covers information disclosed until [date], unless either party terminates earlier by written notice. Termination does not release duties for information already disclosed.</w:t>
      </w:r>
    </w:p>
    <w:p>
      <w:pPr>
        <w:widowControl/>
      </w:pPr>
      <w:r>
        <w:t xml:space="preserve">Confidentiality period: duties for each disclosure continue for [number] years from that disclosure. For trade secrets, duties continue while the information qualifies as a trade secret under applicable law.</w:t>
      </w:r>
    </w:p>
    <w:p>
      <w:pPr>
        <w:widowControl/>
      </w:pPr>
      <w:r>
        <w:t xml:space="preserve">Complete both duration fields before signing; do not assume a default period.</w:t>
      </w:r>
    </w:p>
    <w:p>
      <w:pPr>
        <w:pStyle w:val="Heading1"/>
        <w:widowControl/>
      </w:pPr>
      <w:r>
        <w:t xml:space="preserve">8. Ownership, no license, and no obligation to engage</w:t>
      </w:r>
    </w:p>
    <w:p>
      <w:pPr>
        <w:widowControl/>
      </w:pPr>
      <w:r>
        <w:t xml:space="preserve">Each disclosing party retains its rights in its information. Except for use for the Purpose, no license, assignment, exclusivity, or other intellectual-property right is granted.</w:t>
      </w:r>
    </w:p>
    <w:p>
      <w:pPr>
        <w:widowControl/>
      </w:pPr>
      <w:r>
        <w:t xml:space="preserve">Information is provided without a guarantee of accuracy or completeness. This does not excuse fraud or obligations that cannot lawfully be excluded. Neither party is required to disclose information, enter a consulting engagement, or purchase services.</w:t>
      </w:r>
    </w:p>
    <w:p>
      <w:pPr>
        <w:widowControl/>
      </w:pPr>
      <w:r>
        <w:t xml:space="preserve">This NDA does not establish fees, project scope, deliverable ownership, or authority to process regulated personal data. Those matters require separate written terms. Each party must have authority to disclose the information it supplies.</w:t>
      </w:r>
    </w:p>
    <w:p>
      <w:pPr>
        <w:widowControl/>
      </w:pPr>
      <w:r>
        <w:t xml:space="preserve">Neither party may publicize the other party's name, logo, information, or participation without prior written consent.</w:t>
      </w:r>
    </w:p>
    <w:p>
      <w:pPr>
        <w:pStyle w:val="Heading1"/>
        <w:widowControl/>
      </w:pPr>
      <w:r>
        <w:t xml:space="preserve">9. Remedies and Washington law</w:t>
      </w:r>
    </w:p>
    <w:p>
      <w:pPr>
        <w:widowControl/>
      </w:pPr>
      <w:r>
        <w:t xml:space="preserve">Unauthorized use or disclosure may cause harm not adequately remedied by money alone. Either party may request injunctive or other equitable relief, subject to applicable law and the court's requirements; relief is not automatic. Other lawful remedies remain available.</w:t>
      </w:r>
    </w:p>
    <w:p>
      <w:pPr>
        <w:widowControl/>
      </w:pPr>
      <w:r>
        <w:t xml:space="preserve">Washington State law governs this agreement, excluding conflict-of-laws rules and subject to applicable mandatory law. Disputes will be heard in the state courts in [Washington county] or the federal court with jurisdiction over that county, and each party consents to that jurisdiction.</w:t>
      </w:r>
    </w:p>
    <w:p>
      <w:pPr>
        <w:pStyle w:val="Heading1"/>
        <w:widowControl/>
      </w:pPr>
      <w:r>
        <w:t xml:space="preserve">10. Entire agreement, notices, and signatures</w:t>
      </w:r>
    </w:p>
    <w:p>
      <w:pPr>
        <w:widowControl/>
      </w:pPr>
      <w:r>
        <w:t xml:space="preserve">This agreement is the entire agreement about the covered confidentiality subject matter and supersedes prior discussions on that subject. Changes require both parties' written agreement. Neither party may assign this agreement without the other's written consent.</w:t>
      </w:r>
    </w:p>
    <w:p>
      <w:pPr>
        <w:widowControl/>
      </w:pPr>
      <w:r>
        <w:t xml:space="preserve">Notices must be sent to the contacts in Section 1 by a method confirming receipt. If a provision is unenforceable, the remainder continues to the extent permitted by law. Failure to enforce a provision is not a waiver. Counterparts and electronic signatures may be used to the extent permitted by law.</w:t>
      </w:r>
    </w:p>
    <w:p>
      <w:pPr>
        <w:widowControl/>
      </w:pPr>
      <w:r>
        <w:t xml:space="preserve">Each signatory confirms authority to bind the named party.</w:t>
      </w:r>
    </w:p>
    <w:p>
      <w:pPr>
        <w:widowControl/>
      </w:pPr>
      <w:r>
        <w:t xml:space="preserve">PARTY A - Legal entity: Proxonyx Corp. Authorized signer: [name]. Title: [title]. Signature: ____________________. Date: __________.</w:t>
      </w:r>
    </w:p>
    <w:p>
      <w:pPr>
        <w:widowControl/>
      </w:pPr>
      <w:r>
        <w:t xml:space="preserve">PARTY B - Legal entity: [name]. Authorized signer: [name]. Title: [title]. Signature: ____________________. Date: __________.</w:t>
      </w:r>
    </w:p>
    <w:sectPr>
      <w:pgSz w:w="12240" w:h="15840"/>
      <w:pgMar w:top="1080" w:right="1080" w:bottom="1080" w:left="1080"/>
    </w:sectPr>
  </w:body>
</w:document>
</file>

<file path=word/styles.xml><?xml version="1.0" encoding="utf-8"?>
<w:styles xmlns:w="http://schemas.openxmlformats.org/wordprocessingml/2006/main">
  <w:docDefaults>
    <w:rPrDefault>
      <w:rPr>
        <w:rFonts w:ascii="Calibri" w:hAnsi="Calibri"/>
        <w:sz w:val="22"/>
      </w:rPr>
    </w:rPrDefault>
    <w:pPrDefault>
      <w:pPr>
        <w:spacing w:after="160" w:line="276" w:lineRule="auto"/>
      </w:pPr>
    </w:pPrDefault>
  </w:docDefaults>
  <w:style w:type="paragraph" w:default="1" w:styleId="Normal">
    <w:name w:val="Normal"/>
  </w:style>
  <w:style w:type="paragraph" w:styleId="Title">
    <w:name w:val="Title"/>
    <w:basedOn w:val="Normal"/>
    <w:pPr>
      <w:keepNext/>
    </w:pPr>
    <w:rPr>
      <w:b/>
      <w:sz w:val="36"/>
    </w:rPr>
  </w:style>
  <w:style w:type="paragraph" w:styleId="Subtitle">
    <w:name w:val="Subtitle"/>
    <w:basedOn w:val="Normal"/>
    <w:rPr>
      <w:sz w:val="20"/>
      <w:color w:val="46584F"/>
    </w:rPr>
  </w:style>
  <w:style w:type="paragraph" w:styleId="Heading1">
    <w:name w:val="Heading 1"/>
    <w:basedOn w:val="Normal"/>
    <w:pPr>
      <w:keepNext/>
      <w:spacing w:before="240" w:after="120"/>
    </w:pPr>
    <w:rPr>
      <w:b/>
      <w:sz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s>
</file>